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D672B" w:rsidRDefault="002D78FB">
      <w:pPr>
        <w:tabs>
          <w:tab w:val="left" w:pos="2707"/>
          <w:tab w:val="left" w:pos="4142"/>
          <w:tab w:val="left" w:pos="8299"/>
        </w:tabs>
        <w:ind w:left="474"/>
        <w:rPr>
          <w:sz w:val="20"/>
          <w:rFonts w:ascii="Times New Roman"/>
        </w:rPr>
      </w:pPr>
      <w:r>
        <w:rPr>
          <w:sz w:val="20"/>
          <w:rFonts w:ascii="Times New Roman"/>
        </w:rPr>
        <w:drawing>
          <wp:inline distT="0" distB="0" distL="0" distR="0">
            <wp:extent cx="1212271" cy="690086"/>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1212271" cy="690086"/>
                    </a:xfrm>
                    <a:prstGeom prst="rect">
                      <a:avLst/>
                    </a:prstGeom>
                  </pic:spPr>
                </pic:pic>
              </a:graphicData>
            </a:graphic>
          </wp:inline>
        </w:drawing>
      </w:r>
      <w:r>
        <w:rPr>
          <w:sz w:val="20"/>
          <w:rFonts w:ascii="Times New Roman"/>
        </w:rPr>
        <w:tab/>
      </w:r>
      <w:r>
        <w:drawing>
          <wp:inline distT="0" distB="0" distL="0" distR="0">
            <wp:extent cx="665661" cy="688085"/>
            <wp:effectExtent l="0" t="0" r="0" b="0"/>
            <wp:docPr id="3"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jpeg"/>
                    <pic:cNvPicPr/>
                  </pic:nvPicPr>
                  <pic:blipFill>
                    <a:blip r:embed="rId9" cstate="print"/>
                    <a:stretch>
                      <a:fillRect/>
                    </a:stretch>
                  </pic:blipFill>
                  <pic:spPr>
                    <a:xfrm>
                      <a:off x="0" y="0"/>
                      <a:ext cx="665661" cy="688085"/>
                    </a:xfrm>
                    <a:prstGeom prst="rect">
                      <a:avLst/>
                    </a:prstGeom>
                  </pic:spPr>
                </pic:pic>
              </a:graphicData>
            </a:graphic>
          </wp:inline>
        </w:drawing>
      </w:r>
      <w:r>
        <w:rPr>
          <w:sz w:val="20"/>
          <w:rFonts w:ascii="Times New Roman"/>
        </w:rPr>
        <w:tab/>
      </w:r>
      <w:r>
        <w:drawing>
          <wp:inline distT="0" distB="0" distL="0" distR="0">
            <wp:extent cx="1169667" cy="249174"/>
            <wp:effectExtent l="0" t="0" r="0" b="0"/>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0" cstate="print"/>
                    <a:stretch>
                      <a:fillRect/>
                    </a:stretch>
                  </pic:blipFill>
                  <pic:spPr>
                    <a:xfrm>
                      <a:off x="0" y="0"/>
                      <a:ext cx="1169667" cy="249174"/>
                    </a:xfrm>
                    <a:prstGeom prst="rect">
                      <a:avLst/>
                    </a:prstGeom>
                  </pic:spPr>
                </pic:pic>
              </a:graphicData>
            </a:graphic>
          </wp:inline>
        </w:drawing>
      </w:r>
      <w:r>
        <w:rPr>
          <w:sz w:val="20"/>
          <w:rFonts w:ascii="Times New Roman"/>
        </w:rPr>
        <w:t xml:space="preserve"> </w:t>
      </w:r>
      <w:r>
        <w:drawing>
          <wp:inline distT="0" distB="0" distL="0" distR="0">
            <wp:extent cx="1111177" cy="280987"/>
            <wp:effectExtent l="0" t="0" r="0" b="0"/>
            <wp:docPr id="7"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jpeg"/>
                    <pic:cNvPicPr/>
                  </pic:nvPicPr>
                  <pic:blipFill>
                    <a:blip r:embed="rId11" cstate="print"/>
                    <a:stretch>
                      <a:fillRect/>
                    </a:stretch>
                  </pic:blipFill>
                  <pic:spPr>
                    <a:xfrm>
                      <a:off x="0" y="0"/>
                      <a:ext cx="1111177" cy="280987"/>
                    </a:xfrm>
                    <a:prstGeom prst="rect">
                      <a:avLst/>
                    </a:prstGeom>
                  </pic:spPr>
                </pic:pic>
              </a:graphicData>
            </a:graphic>
          </wp:inline>
        </w:drawing>
      </w:r>
      <w:r>
        <w:rPr>
          <w:sz w:val="20"/>
          <w:rFonts w:ascii="Times New Roman"/>
        </w:rPr>
        <w:tab/>
      </w:r>
      <w:r>
        <w:drawing>
          <wp:inline distT="0" distB="0" distL="0" distR="0">
            <wp:extent cx="688437" cy="662940"/>
            <wp:effectExtent l="0" t="0" r="0" b="0"/>
            <wp:docPr id="9"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5.png"/>
                    <pic:cNvPicPr/>
                  </pic:nvPicPr>
                  <pic:blipFill>
                    <a:blip r:embed="rId12" cstate="print"/>
                    <a:stretch>
                      <a:fillRect/>
                    </a:stretch>
                  </pic:blipFill>
                  <pic:spPr>
                    <a:xfrm>
                      <a:off x="0" y="0"/>
                      <a:ext cx="688437" cy="662940"/>
                    </a:xfrm>
                    <a:prstGeom prst="rect">
                      <a:avLst/>
                    </a:prstGeom>
                  </pic:spPr>
                </pic:pic>
              </a:graphicData>
            </a:graphic>
          </wp:inline>
        </w:drawing>
      </w:r>
    </w:p>
    <w:p w:rsidR="00DD672B" w:rsidRDefault="00DD672B">
      <w:pPr>
        <w:pStyle w:val="Corpsdetexte"/>
        <w:rPr>
          <w:rFonts w:ascii="Times New Roman"/>
          <w:sz w:val="20"/>
        </w:rPr>
      </w:pPr>
    </w:p>
    <w:p w:rsidR="00DD672B" w:rsidRDefault="00DD672B">
      <w:pPr>
        <w:pStyle w:val="Corpsdetexte"/>
        <w:spacing w:before="5"/>
        <w:rPr>
          <w:rFonts w:ascii="Times New Roman"/>
          <w:sz w:val="25"/>
        </w:rPr>
      </w:pPr>
    </w:p>
    <w:p w:rsidR="00DD672B" w:rsidRDefault="002D78FB">
      <w:pPr>
        <w:spacing w:before="100"/>
        <w:ind w:left="473"/>
        <w:rPr>
          <w:sz w:val="24"/>
        </w:rPr>
      </w:pPr>
      <w:r>
        <w:rPr>
          <w:color w:val="595959"/>
          <w:sz w:val="24"/>
        </w:rPr>
        <w:t xml:space="preserve">ELABORAÇÃO DE LEIS E POLÍTICAS SOBRE DESLOCAÇÕES INTERNAS</w:t>
      </w:r>
    </w:p>
    <w:p w:rsidR="00DD672B" w:rsidRDefault="00DD672B">
      <w:pPr>
        <w:pStyle w:val="Corpsdetexte"/>
        <w:rPr>
          <w:sz w:val="28"/>
        </w:rPr>
      </w:pPr>
    </w:p>
    <w:p w:rsidR="00DD672B" w:rsidRDefault="00DD672B">
      <w:pPr>
        <w:pStyle w:val="Corpsdetexte"/>
        <w:rPr>
          <w:sz w:val="28"/>
        </w:rPr>
      </w:pPr>
    </w:p>
    <w:p w:rsidR="00DD672B" w:rsidRDefault="00DD672B">
      <w:pPr>
        <w:pStyle w:val="Corpsdetexte"/>
        <w:spacing w:before="7"/>
        <w:rPr>
          <w:sz w:val="25"/>
        </w:rPr>
      </w:pPr>
    </w:p>
    <w:p w:rsidR="00DD672B" w:rsidRDefault="002D78FB" w:rsidP="001E0BD5">
      <w:pPr>
        <w:pStyle w:val="Titre"/>
      </w:pPr>
      <w:r>
        <w:rPr>
          <w:color w:val="5B9BD5"/>
        </w:rPr>
        <w:t xml:space="preserve">SESSÃO 4:</w:t>
      </w:r>
      <w:r>
        <w:rPr>
          <w:color w:val="5B9BD5"/>
        </w:rPr>
        <w:t xml:space="preserve"> </w:t>
      </w:r>
      <w:r>
        <w:rPr>
          <w:color w:val="5B9BD5"/>
        </w:rPr>
        <w:t xml:space="preserve">ORGANIZAR UM PROCESSO PARTICIPATIVO</w:t>
      </w:r>
    </w:p>
    <w:p w:rsidR="00DD672B" w:rsidRDefault="002D78FB">
      <w:pPr>
        <w:spacing w:before="304"/>
        <w:ind w:left="473"/>
        <w:rPr>
          <w:sz w:val="24"/>
        </w:rPr>
      </w:pPr>
      <w:r>
        <w:rPr>
          <w:color w:val="595959"/>
          <w:sz w:val="24"/>
        </w:rPr>
        <w:t xml:space="preserve">INVESTIR NUM PROCESSO CONSULTIVO</w:t>
      </w:r>
    </w:p>
    <w:p w:rsidR="00DD672B" w:rsidRDefault="00DD672B">
      <w:pPr>
        <w:pStyle w:val="Corpsdetexte"/>
        <w:rPr>
          <w:sz w:val="28"/>
        </w:rPr>
      </w:pPr>
    </w:p>
    <w:p w:rsidR="00DD672B" w:rsidRDefault="00DD672B">
      <w:pPr>
        <w:pStyle w:val="Corpsdetexte"/>
        <w:rPr>
          <w:sz w:val="28"/>
        </w:rPr>
      </w:pPr>
    </w:p>
    <w:p w:rsidR="00DD672B" w:rsidRDefault="00DD672B">
      <w:pPr>
        <w:pStyle w:val="Corpsdetexte"/>
        <w:spacing w:before="1"/>
        <w:rPr>
          <w:sz w:val="26"/>
        </w:rPr>
      </w:pPr>
    </w:p>
    <w:p w:rsidR="00DD672B" w:rsidRDefault="002D78FB">
      <w:pPr>
        <w:pStyle w:val="Corpsdetexte"/>
        <w:spacing w:line="254" w:lineRule="auto"/>
        <w:ind w:left="473"/>
      </w:pPr>
      <w:r>
        <w:t xml:space="preserve">O desenvolvimento de um instrumento nacional sobre deslocações internas é um processo em que vale a pena investir, pelos motivos seguintes:</w:t>
      </w:r>
    </w:p>
    <w:p w:rsidR="00DD672B" w:rsidRDefault="002D78FB">
      <w:pPr>
        <w:pStyle w:val="Paragraphedeliste"/>
        <w:numPr>
          <w:ilvl w:val="0"/>
          <w:numId w:val="2"/>
        </w:numPr>
        <w:tabs>
          <w:tab w:val="left" w:pos="1193"/>
          <w:tab w:val="left" w:pos="1194"/>
        </w:tabs>
        <w:spacing w:before="195" w:line="254" w:lineRule="auto"/>
        <w:ind w:right="440"/>
        <w:rPr>
          <w:sz w:val="19"/>
        </w:rPr>
      </w:pPr>
      <w:r>
        <w:rPr>
          <w:sz w:val="19"/>
        </w:rPr>
        <w:t xml:space="preserve">É uma oportunidade para o governo demonstrar a sua abordagem ao cumprimento do seu papel principal e ao reforço da sua capacidade.</w:t>
      </w:r>
    </w:p>
    <w:p w:rsidR="00DD672B" w:rsidRDefault="002D78FB">
      <w:pPr>
        <w:pStyle w:val="Paragraphedeliste"/>
        <w:numPr>
          <w:ilvl w:val="0"/>
          <w:numId w:val="2"/>
        </w:numPr>
        <w:tabs>
          <w:tab w:val="left" w:pos="1193"/>
          <w:tab w:val="left" w:pos="1194"/>
        </w:tabs>
        <w:spacing w:line="230" w:lineRule="exact"/>
        <w:ind w:hanging="361"/>
        <w:rPr>
          <w:sz w:val="19"/>
        </w:rPr>
      </w:pPr>
      <w:r>
        <w:rPr>
          <w:sz w:val="19"/>
        </w:rPr>
        <w:t xml:space="preserve">Reúne todos os envolvidos na resposta às deslocações internas no país em causa.</w:t>
      </w:r>
    </w:p>
    <w:p w:rsidR="00DD672B" w:rsidRDefault="002D78FB">
      <w:pPr>
        <w:pStyle w:val="Paragraphedeliste"/>
        <w:numPr>
          <w:ilvl w:val="0"/>
          <w:numId w:val="2"/>
        </w:numPr>
        <w:tabs>
          <w:tab w:val="left" w:pos="1193"/>
          <w:tab w:val="left" w:pos="1194"/>
        </w:tabs>
        <w:spacing w:before="13"/>
        <w:ind w:hanging="361"/>
        <w:rPr>
          <w:sz w:val="19"/>
        </w:rPr>
      </w:pPr>
      <w:r>
        <w:rPr>
          <w:sz w:val="19"/>
        </w:rPr>
        <w:t xml:space="preserve">Suscita debates entre todos os participantes no processo e proporciona oportunidades de ativismo.</w:t>
      </w:r>
    </w:p>
    <w:p w:rsidR="00DD672B" w:rsidRDefault="002D78FB">
      <w:pPr>
        <w:pStyle w:val="Paragraphedeliste"/>
        <w:numPr>
          <w:ilvl w:val="0"/>
          <w:numId w:val="2"/>
        </w:numPr>
        <w:tabs>
          <w:tab w:val="left" w:pos="1193"/>
          <w:tab w:val="left" w:pos="1194"/>
        </w:tabs>
        <w:spacing w:before="13"/>
        <w:ind w:hanging="361"/>
        <w:rPr>
          <w:sz w:val="19"/>
        </w:rPr>
      </w:pPr>
      <w:r>
        <w:rPr>
          <w:sz w:val="19"/>
        </w:rPr>
        <w:t xml:space="preserve">Ajuda a resolver os mal-entendidos e a alcançar o acordo sobre as principais noções, definições e conceitos.</w:t>
      </w:r>
    </w:p>
    <w:p w:rsidR="00DD672B" w:rsidRDefault="002D78FB">
      <w:pPr>
        <w:pStyle w:val="Paragraphedeliste"/>
        <w:numPr>
          <w:ilvl w:val="0"/>
          <w:numId w:val="2"/>
        </w:numPr>
        <w:tabs>
          <w:tab w:val="left" w:pos="1193"/>
          <w:tab w:val="left" w:pos="1194"/>
        </w:tabs>
        <w:spacing w:before="13"/>
        <w:ind w:hanging="361"/>
        <w:rPr>
          <w:sz w:val="19"/>
        </w:rPr>
      </w:pPr>
      <w:r>
        <w:rPr>
          <w:sz w:val="19"/>
        </w:rPr>
        <w:t xml:space="preserve">Ajuda a identificar o caminho comum para a resolução das deslocações.</w:t>
      </w:r>
    </w:p>
    <w:p w:rsidR="00DD672B" w:rsidRDefault="002D78FB">
      <w:pPr>
        <w:pStyle w:val="Paragraphedeliste"/>
        <w:numPr>
          <w:ilvl w:val="0"/>
          <w:numId w:val="2"/>
        </w:numPr>
        <w:tabs>
          <w:tab w:val="left" w:pos="1193"/>
          <w:tab w:val="left" w:pos="1194"/>
        </w:tabs>
        <w:spacing w:before="8" w:line="254" w:lineRule="auto"/>
        <w:ind w:right="887"/>
        <w:rPr>
          <w:sz w:val="19"/>
        </w:rPr>
      </w:pPr>
      <w:r>
        <w:rPr>
          <w:sz w:val="19"/>
        </w:rPr>
        <w:t xml:space="preserve">Dá às PDI e a outras comunidades afetadas pela deslocação um papel ativo e a oportunidade de contribuir, ajudar a contrabalançar o seu sentido de desespero e frustração.</w:t>
      </w:r>
    </w:p>
    <w:p w:rsidR="00DD672B" w:rsidRDefault="002D78FB">
      <w:pPr>
        <w:pStyle w:val="Paragraphedeliste"/>
        <w:numPr>
          <w:ilvl w:val="0"/>
          <w:numId w:val="2"/>
        </w:numPr>
        <w:tabs>
          <w:tab w:val="left" w:pos="1193"/>
          <w:tab w:val="left" w:pos="1194"/>
        </w:tabs>
        <w:spacing w:line="230" w:lineRule="exact"/>
        <w:ind w:hanging="361"/>
        <w:rPr>
          <w:sz w:val="19"/>
        </w:rPr>
      </w:pPr>
      <w:r>
        <w:rPr>
          <w:sz w:val="19"/>
        </w:rPr>
        <w:t xml:space="preserve">É uma excelente oportunidade para envolver os doadores.</w:t>
      </w:r>
    </w:p>
    <w:p w:rsidR="00DD672B" w:rsidRDefault="002D78FB">
      <w:pPr>
        <w:pStyle w:val="Paragraphedeliste"/>
        <w:numPr>
          <w:ilvl w:val="0"/>
          <w:numId w:val="2"/>
        </w:numPr>
        <w:tabs>
          <w:tab w:val="left" w:pos="1193"/>
          <w:tab w:val="left" w:pos="1194"/>
        </w:tabs>
        <w:spacing w:before="13"/>
        <w:ind w:hanging="361"/>
        <w:rPr>
          <w:sz w:val="19"/>
        </w:rPr>
      </w:pPr>
      <w:r>
        <w:rPr>
          <w:sz w:val="19"/>
        </w:rPr>
        <w:t xml:space="preserve">É um exercício de aprendizagem importante para todos os envolvidos.</w:t>
      </w:r>
    </w:p>
    <w:p w:rsidR="00DD672B" w:rsidRDefault="002D78FB">
      <w:pPr>
        <w:pStyle w:val="Paragraphedeliste"/>
        <w:numPr>
          <w:ilvl w:val="0"/>
          <w:numId w:val="2"/>
        </w:numPr>
        <w:tabs>
          <w:tab w:val="left" w:pos="1193"/>
          <w:tab w:val="left" w:pos="1194"/>
        </w:tabs>
        <w:spacing w:before="12"/>
        <w:ind w:hanging="361"/>
        <w:rPr>
          <w:sz w:val="19"/>
        </w:rPr>
      </w:pPr>
      <w:r>
        <w:drawing>
          <wp:anchor distT="0" distB="0" distL="0" distR="0" simplePos="0" relativeHeight="15729664" behindDoc="0" locked="0" layoutInCell="1" allowOverlap="1">
            <wp:simplePos x="0" y="0"/>
            <wp:positionH relativeFrom="page">
              <wp:posOffset>669036</wp:posOffset>
            </wp:positionH>
            <wp:positionV relativeFrom="paragraph">
              <wp:posOffset>377656</wp:posOffset>
            </wp:positionV>
            <wp:extent cx="1961514" cy="2129773"/>
            <wp:effectExtent l="0" t="0" r="0" b="0"/>
            <wp:wrapNone/>
            <wp:docPr id="11"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6.jpeg"/>
                    <pic:cNvPicPr/>
                  </pic:nvPicPr>
                  <pic:blipFill>
                    <a:blip r:embed="rId13" cstate="print"/>
                    <a:stretch>
                      <a:fillRect/>
                    </a:stretch>
                  </pic:blipFill>
                  <pic:spPr>
                    <a:xfrm>
                      <a:off x="0" y="0"/>
                      <a:ext cx="1961514" cy="2129773"/>
                    </a:xfrm>
                    <a:prstGeom prst="rect">
                      <a:avLst/>
                    </a:prstGeom>
                  </pic:spPr>
                </pic:pic>
              </a:graphicData>
            </a:graphic>
          </wp:anchor>
        </w:drawing>
      </w:r>
      <w:r>
        <w:rPr>
          <w:sz w:val="19"/>
        </w:rPr>
        <w:t xml:space="preserve">O resultado moldará o conteúdo e as perspetivas do instrumento para a sua implementação bem-sucedida.</w:t>
      </w:r>
      <w:r w:rsidR="00E61592">
        <w:rPr>
          <w:rStyle w:val="Appelnotedebasdep"/>
          <w:w w:val="105"/>
          <w:sz w:val="19"/>
        </w:rPr>
        <w:footnoteReference w:id="1"/>
      </w:r>
    </w:p>
    <w:p w:rsidR="00DD672B" w:rsidRDefault="001E0BD5">
      <w:pPr>
        <w:pStyle w:val="Corpsdetexte"/>
        <w:spacing w:before="6"/>
        <w:rPr>
          <w:sz w:val="13"/>
        </w:rPr>
      </w:pPr>
      <w:r>
        <w:pict>
          <v:group id="_x0000_s1033" style="position:absolute;margin-left:214.7pt;margin-top:10.2pt;width:313.95pt;height:37pt;z-index:-15728640;mso-wrap-distance-left:0;mso-wrap-distance-right:0;mso-position-horizontal-relative:page" coordorigin="4294,204" coordsize="6279,740">
            <v:shape id="_x0000_s1035" style="position:absolute;left:4293;top:204;width:6279;height:740" coordorigin="4294,204" coordsize="6279,740" path="m10572,204r-58,l4294,204r,58l4294,574r,312l4294,943r6220,l10572,943r,-57l10572,574r,-312l10572,204xe" fillcolor="#5b9bd5" stroked="f">
              <v:path arrowok="t"/>
            </v:shape>
            <v:shapetype id="_x0000_t202" coordsize="21600,21600" o:spt="202" path="m,l,21600r21600,l21600,xe">
              <v:stroke joinstyle="miter"/>
              <v:path gradientshapeok="t" o:connecttype="rect"/>
            </v:shapetype>
            <v:shape id="_x0000_s1034" type="#_x0000_t202" style="position:absolute;left:4293;top:204;width:6279;height:740" filled="f" stroked="f">
              <v:textbox inset="0,0,0,0">
                <w:txbxContent>
                  <w:p w:rsidR="00DD672B" w:rsidRDefault="002D78FB">
                    <w:pPr>
                      <w:spacing w:before="69" w:line="292" w:lineRule="auto"/>
                      <w:ind w:left="28" w:right="376"/>
                      <w:rPr>
                        <w:b/>
                        <w:sz w:val="21"/>
                      </w:rPr>
                    </w:pPr>
                    <w:r>
                      <w:rPr>
                        <w:b/>
                        <w:color w:val="FFFFFF"/>
                        <w:sz w:val="21"/>
                      </w:rPr>
                      <w:t xml:space="preserve">PARTICIPAÇÃO DAS PDI E BOAS PRÁTICAS:</w:t>
                    </w:r>
                    <w:r>
                      <w:rPr>
                        <w:b/>
                        <w:color w:val="FFFFFF"/>
                        <w:sz w:val="21"/>
                      </w:rPr>
                      <w:t xml:space="preserve"> </w:t>
                    </w:r>
                    <w:r>
                      <w:rPr>
                        <w:b/>
                        <w:color w:val="FFFFFF"/>
                        <w:sz w:val="21"/>
                      </w:rPr>
                      <w:t xml:space="preserve">DIÁLOGO NACIONAL DO IÉMEN</w:t>
                    </w:r>
                  </w:p>
                </w:txbxContent>
              </v:textbox>
            </v:shape>
            <w10:wrap type="topAndBottom" anchorx="page"/>
          </v:group>
        </w:pict>
      </w:r>
    </w:p>
    <w:p w:rsidR="00DD672B" w:rsidRDefault="002D78FB" w:rsidP="00E61592">
      <w:pPr>
        <w:pStyle w:val="Corpsdetexte"/>
        <w:spacing w:before="179" w:line="290" w:lineRule="auto"/>
        <w:ind w:left="3382" w:right="266"/>
      </w:pPr>
      <w:r>
        <w:t xml:space="preserve">“As Pessoas Deslocadas Internamente (PDI) estão entre os grupos de intervenientes cujas vozes e perspetivas é extremamente importante incluir no Diálogo Nacional… As PDI têm um interesse direto na resolução dos conflitos que as desenraizaram, para que possam encontrar uma solução duradoura... Garantir que as vozes e as perspetivas das PDI possam ser ouvidas na Conferência do Diálogo Nacional é essencial para a inclusividade do processo e a sua relevância para o meio milhão de iemenitas que foram deslocados internamente.</w:t>
      </w:r>
      <w:r>
        <w:t xml:space="preserve"> </w:t>
      </w:r>
      <w:r>
        <w:t xml:space="preserve">Como o Secretário-Geral da ONU salientou recentemente:</w:t>
      </w:r>
      <w:r>
        <w:t xml:space="preserve"> </w:t>
      </w:r>
      <w:r>
        <w:t xml:space="preserve">“Um processo de consolidação da paz bem-sucedido deve ser transformativo e criar espaço para um conjunto mais vasto de agentes, incluindo, sem limitação, os representantes das pessoas deslocadas internamente, para participar na tomada de decisões públicas, em todos os aspetos de governação e recuperação pós-conflito.</w:t>
      </w:r>
      <w:r>
        <w:t xml:space="preserve"> </w:t>
      </w:r>
      <w:r>
        <w:t xml:space="preserve">A participação e o diálogo melhoram a propriedade nacional, tirando partido dos recursos e conhecimento para a consolidação da paz existente nas sociedades pós-conflito.”</w:t>
      </w:r>
    </w:p>
    <w:p w:rsidR="00DD672B" w:rsidRDefault="002D78FB">
      <w:pPr>
        <w:pStyle w:val="Corpsdetexte"/>
        <w:spacing w:before="199" w:line="290" w:lineRule="auto"/>
        <w:ind w:left="473" w:right="170"/>
      </w:pPr>
      <w:r>
        <w:t xml:space="preserve">“Para facilitar a inclusão das vozes e perspetivas das PDI no Diálogo Nacional, o Gabinete do Alto Comissariado da ONU para os Refugiados (ACNUR) organizou uma série de debates de grupo focais e outras consultas com as PDI do Iémen.</w:t>
      </w:r>
      <w:r>
        <w:t xml:space="preserve"> </w:t>
      </w:r>
      <w:r>
        <w:t xml:space="preserve">Estas consultas foram realizadas pelo ACNUR em 2012, como parte de um projeto maior da ONU, apoiado pelo Gabinete de Apoio à Consolidação da Paz e pelo Fundo de Construção da Paz da ONU.</w:t>
      </w:r>
      <w:r>
        <w:t xml:space="preserve"> </w:t>
      </w:r>
      <w:r>
        <w:t xml:space="preserve">Um dos objetivos deste projeto era dar autonomia aos intervenientes, especialmente à sociedade civil, jovens, mulheres e PDIs, para serem capazes de participar, de forma significativa, no Diálogo Nacional.</w:t>
      </w:r>
      <w:r>
        <w:t xml:space="preserve"> </w:t>
      </w:r>
      <w:r>
        <w:t xml:space="preserve">De agosto a outubro de 2012, o ACNUR promoveu 30 debates de grupo focais com as PDI em Aden, Amran, Haradh e Sana’a. Os resultados destes debates foram posteriormente discutidos e validados por workshops regionais com as PDI em Aden, Haradh e Sana’a, em novembro e dezembro.</w:t>
      </w:r>
      <w:r>
        <w:t xml:space="preserve"> </w:t>
      </w:r>
      <w:r>
        <w:t xml:space="preserve">Foi consultado um total de 3646 PDI, incluindo 1483 mulheres.</w:t>
      </w:r>
    </w:p>
    <w:p w:rsidR="00DD672B" w:rsidRDefault="002D78FB">
      <w:pPr>
        <w:pStyle w:val="Corpsdetexte"/>
        <w:spacing w:before="201"/>
        <w:ind w:left="473"/>
      </w:pPr>
      <w:r>
        <w:t xml:space="preserve">“Os principais elementos que as PDI salientaram incluem:</w:t>
      </w:r>
    </w:p>
    <w:p w:rsidR="00DD672B" w:rsidRDefault="00DD672B">
      <w:pPr>
        <w:pStyle w:val="Corpsdetexte"/>
        <w:spacing w:before="8"/>
        <w:rPr>
          <w:sz w:val="20"/>
        </w:rPr>
      </w:pPr>
    </w:p>
    <w:p w:rsidR="00DD672B" w:rsidRDefault="002D78FB">
      <w:pPr>
        <w:pStyle w:val="Paragraphedeliste"/>
        <w:numPr>
          <w:ilvl w:val="0"/>
          <w:numId w:val="1"/>
        </w:numPr>
        <w:tabs>
          <w:tab w:val="left" w:pos="1193"/>
          <w:tab w:val="left" w:pos="1194"/>
        </w:tabs>
        <w:spacing w:before="1" w:line="288" w:lineRule="auto"/>
        <w:ind w:right="986"/>
        <w:rPr>
          <w:sz w:val="19"/>
        </w:rPr>
      </w:pPr>
      <w:r>
        <w:rPr>
          <w:sz w:val="19"/>
        </w:rPr>
        <w:t xml:space="preserve">A segurança e proteção dos civis deve ser garantida por todas as partes, em todas as fases da deslocação, em conformidade com os direitos humanos internacionais e o direito internacional humanitário;</w:t>
      </w:r>
    </w:p>
    <w:p w:rsidR="00DD672B" w:rsidRDefault="002D78FB">
      <w:pPr>
        <w:pStyle w:val="Paragraphedeliste"/>
        <w:numPr>
          <w:ilvl w:val="0"/>
          <w:numId w:val="1"/>
        </w:numPr>
        <w:tabs>
          <w:tab w:val="left" w:pos="1193"/>
          <w:tab w:val="left" w:pos="1194"/>
        </w:tabs>
        <w:spacing w:before="5" w:line="288" w:lineRule="auto"/>
        <w:ind w:right="233"/>
        <w:rPr>
          <w:sz w:val="19"/>
        </w:rPr>
      </w:pPr>
      <w:r>
        <w:rPr>
          <w:sz w:val="19"/>
        </w:rPr>
        <w:t xml:space="preserve">Um quadro legal e político nacional para responder e resolver as deslocações internas deve ser desenvolvido e implementado pelo Governo;</w:t>
      </w:r>
    </w:p>
    <w:p w:rsidR="00DD672B" w:rsidRDefault="002D78FB">
      <w:pPr>
        <w:pStyle w:val="Paragraphedeliste"/>
        <w:numPr>
          <w:ilvl w:val="0"/>
          <w:numId w:val="1"/>
        </w:numPr>
        <w:tabs>
          <w:tab w:val="left" w:pos="1194"/>
        </w:tabs>
        <w:spacing w:before="5" w:line="290" w:lineRule="auto"/>
        <w:ind w:right="287"/>
        <w:jc w:val="both"/>
        <w:rPr>
          <w:sz w:val="19"/>
        </w:rPr>
      </w:pPr>
      <w:r>
        <w:rPr>
          <w:sz w:val="19"/>
        </w:rPr>
        <w:t xml:space="preserve">Um sistema de alerta precoce, bem como mecanismos e planos de preparação e resposta a catástrofes devem ser estabelecidos a nível local e nacional, para responder às deslocações causadas por catástrofes naturais e conflitos;</w:t>
      </w:r>
    </w:p>
    <w:p w:rsidR="00DD672B" w:rsidRDefault="002D78FB">
      <w:pPr>
        <w:pStyle w:val="Paragraphedeliste"/>
        <w:numPr>
          <w:ilvl w:val="0"/>
          <w:numId w:val="1"/>
        </w:numPr>
        <w:tabs>
          <w:tab w:val="left" w:pos="1193"/>
          <w:tab w:val="left" w:pos="1194"/>
        </w:tabs>
        <w:spacing w:line="292" w:lineRule="auto"/>
        <w:ind w:right="454"/>
        <w:rPr>
          <w:sz w:val="19"/>
        </w:rPr>
      </w:pPr>
      <w:r>
        <w:rPr>
          <w:sz w:val="19"/>
        </w:rPr>
        <w:t xml:space="preserve">Deve ser dada maior atenção às preocupações específicas das PDI, mulheres, crianças, idosos em risco e outros grupos com vulnerabilidades específicas;</w:t>
      </w:r>
    </w:p>
    <w:p w:rsidR="00DD672B" w:rsidRDefault="002D78FB">
      <w:pPr>
        <w:pStyle w:val="Paragraphedeliste"/>
        <w:numPr>
          <w:ilvl w:val="0"/>
          <w:numId w:val="1"/>
        </w:numPr>
        <w:tabs>
          <w:tab w:val="left" w:pos="1193"/>
          <w:tab w:val="left" w:pos="1194"/>
        </w:tabs>
        <w:spacing w:line="290" w:lineRule="auto"/>
        <w:ind w:right="216"/>
        <w:rPr>
          <w:sz w:val="19"/>
        </w:rPr>
      </w:pPr>
      <w:r>
        <w:rPr>
          <w:sz w:val="19"/>
        </w:rPr>
        <w:t xml:space="preserve">A partilha de informação e consulta com as PDI devem ser melhoradas, incluindo informar os civis sobre situações de conflito iminente, envolver as PDI na conceção e produção de programas de assistência e assegurar que as PDI dispõem de informação adequada sobre as condições nos locais de potencial retorno;</w:t>
      </w:r>
    </w:p>
    <w:p w:rsidR="00DD672B" w:rsidRDefault="002D78FB">
      <w:pPr>
        <w:pStyle w:val="Paragraphedeliste"/>
        <w:numPr>
          <w:ilvl w:val="0"/>
          <w:numId w:val="1"/>
        </w:numPr>
        <w:tabs>
          <w:tab w:val="left" w:pos="1193"/>
          <w:tab w:val="left" w:pos="1194"/>
        </w:tabs>
        <w:spacing w:line="290" w:lineRule="auto"/>
        <w:ind w:right="253"/>
        <w:rPr>
          <w:sz w:val="19"/>
        </w:rPr>
      </w:pPr>
      <w:r>
        <w:rPr>
          <w:sz w:val="19"/>
        </w:rPr>
        <w:t xml:space="preserve">Restituição de habitações, terras e propriedades ou, se tal não for possível, compensação através do estabelecimento de um mecanismo para esse fim; não queremos apenas alimentação e outra ajuda das organizações internacionais; queremos voltar às nossas casas e aldeias.” </w:t>
      </w:r>
      <w:r w:rsidR="006734A6">
        <w:rPr>
          <w:rStyle w:val="Appelnotedebasdep"/>
          <w:spacing w:val="-9"/>
          <w:w w:val="105"/>
          <w:sz w:val="19"/>
        </w:rPr>
        <w:footnoteReference w:id="2"/>
      </w:r>
    </w:p>
    <w:p w:rsidR="00DD672B" w:rsidRDefault="00DD672B">
      <w:pPr>
        <w:pStyle w:val="Corpsdetexte"/>
        <w:spacing w:before="9"/>
        <w:rPr>
          <w:sz w:val="12"/>
        </w:rPr>
      </w:pPr>
    </w:p>
    <w:p w:rsidR="00DD672B" w:rsidRDefault="002D78FB">
      <w:pPr>
        <w:pStyle w:val="Titre1"/>
        <w:tabs>
          <w:tab w:val="left" w:pos="9631"/>
        </w:tabs>
        <w:spacing w:before="106"/>
      </w:pPr>
      <w:r>
        <w:rPr>
          <w:color w:val="FFFFFF"/>
          <w:shd w:val="clear" w:color="auto" w:fill="5B9BD5"/>
          <w:b w:val="0"/>
          <w:rFonts w:ascii="Times New Roman"/>
        </w:rPr>
        <w:t xml:space="preserve">  </w:t>
      </w:r>
      <w:r>
        <w:rPr>
          <w:color w:val="FFFFFF"/>
          <w:shd w:val="clear" w:color="auto" w:fill="5B9BD5"/>
        </w:rPr>
        <w:t xml:space="preserve">UM PROCESSO DE DOIS ANOS NO AFEGANISTÃO</w:t>
      </w:r>
      <w:r>
        <w:rPr>
          <w:color w:val="FFFFFF"/>
          <w:shd w:val="clear" w:color="auto" w:fill="5B9BD5"/>
        </w:rPr>
        <w:tab/>
      </w:r>
    </w:p>
    <w:p w:rsidR="00DD672B" w:rsidRDefault="00DD672B">
      <w:pPr>
        <w:pStyle w:val="Corpsdetexte"/>
        <w:spacing w:before="3"/>
        <w:rPr>
          <w:b/>
          <w:sz w:val="16"/>
        </w:rPr>
      </w:pPr>
    </w:p>
    <w:p w:rsidR="00DD672B" w:rsidRDefault="002D78FB">
      <w:pPr>
        <w:pStyle w:val="Corpsdetexte"/>
        <w:spacing w:before="106" w:line="254" w:lineRule="auto"/>
        <w:ind w:left="473" w:right="266"/>
      </w:pPr>
      <w:r>
        <w:t xml:space="preserve">A 25 de novembro de 2013, o governo afegão aprovou uma política nacional sobre PDI que levou cerca de dois anos a elaborar.</w:t>
      </w:r>
      <w:r>
        <w:t xml:space="preserve"> </w:t>
      </w:r>
      <w:r>
        <w:t xml:space="preserve">O então presidente, Hamid Karzai, deu início ao processo quando estabeleceu uma força operacional composta pelo Ministério de Refugiados e Repatriação (MdRR) e a Autoridade Afegã para a Gestão de Desastres Naturais (AAGDN), para dar resposta à situação das PDI do país.</w:t>
      </w:r>
    </w:p>
    <w:p w:rsidR="00DD672B" w:rsidRDefault="002D78FB">
      <w:pPr>
        <w:pStyle w:val="Corpsdetexte"/>
        <w:spacing w:before="198" w:line="252" w:lineRule="auto"/>
        <w:ind w:left="473" w:right="265"/>
      </w:pPr>
      <w:r>
        <w:t xml:space="preserve">A força operacional estabeleceu um grupo de trabalho político para apoiar o MdRR, organizou uma visita por parte do relator especial da ONU para os direitos humanos das PDI, contratou um perito externo para auxiliar no trabalho e realizou um workshop consultivo nacional de dois dias, em julho de 2012, seguido dois meses mais tarde por uma primeira ronda de consultas provinciais.</w:t>
      </w:r>
      <w:r>
        <w:t xml:space="preserve"> </w:t>
      </w:r>
      <w:r>
        <w:t xml:space="preserve">Em outubro de 2012, o ProCap destacou um agente sénior de proteção para o ACNUR, para atuar como consultor do MdRR sobre o processo consultivo e a elaboração da política. </w:t>
      </w:r>
      <w:r w:rsidR="006734A6">
        <w:rPr>
          <w:rStyle w:val="Appelnotedebasdep"/>
          <w:w w:val="105"/>
        </w:rPr>
        <w:footnoteReference w:id="3"/>
      </w:r>
      <w:r>
        <w:t xml:space="preserve"> </w:t>
      </w:r>
      <w:r>
        <w:rPr>
          <w:rStyle w:val="Appelnotedebasdep"/>
          <w:w w:val="105"/>
        </w:rPr>
        <w:footnoteReference w:id="4"/>
      </w:r>
    </w:p>
    <w:p w:rsidR="00DD672B" w:rsidRDefault="00DD672B">
      <w:pPr>
        <w:pStyle w:val="Corpsdetexte"/>
        <w:spacing w:before="10"/>
        <w:rPr>
          <w:sz w:val="27"/>
        </w:rPr>
      </w:pPr>
    </w:p>
    <w:p w:rsidR="00DD672B" w:rsidRDefault="00DD672B">
      <w:pPr>
        <w:pStyle w:val="Corpsdetexte"/>
        <w:spacing w:before="63"/>
        <w:ind w:left="473"/>
      </w:pPr>
    </w:p>
    <w:p w:rsidR="00DD672B" w:rsidRDefault="00DD672B" w:rsidP="006734A6">
      <w:pPr>
        <w:spacing w:before="172" w:line="261" w:lineRule="auto"/>
        <w:ind w:left="473" w:right="266"/>
        <w:rPr>
          <w:sz w:val="17"/>
        </w:rPr>
      </w:pPr>
    </w:p>
    <w:p w:rsidR="00DD672B" w:rsidRDefault="00DD672B">
      <w:pPr>
        <w:spacing w:line="254" w:lineRule="auto"/>
        <w:rPr>
          <w:sz w:val="17"/>
        </w:rPr>
        <w:sectPr w:rsidR="00DD672B">
          <w:pgSz w:w="11900" w:h="16820"/>
          <w:pgMar w:top="1340" w:right="1220" w:bottom="280" w:left="940" w:header="708" w:footer="708" w:gutter="0"/>
          <w:cols w:space="708"/>
        </w:sectPr>
      </w:pPr>
    </w:p>
    <w:p w:rsidR="00DD672B" w:rsidRDefault="001E0BD5">
      <w:pPr>
        <w:pStyle w:val="Corpsdetexte"/>
        <w:ind w:left="1534"/>
        <w:rPr>
          <w:sz w:val="20"/>
        </w:rPr>
      </w:pPr>
      <w:r>
        <w:rPr>
          <w:sz w:val="20"/>
        </w:rPr>
        <w:pict>
          <v:group id="_x0000_s1027" style="width:344.4pt;height:164.65pt;mso-position-horizontal-relative:char;mso-position-vertical-relative:line" coordsize="6888,3293">
            <v:shape id="_x0000_s1030" style="position:absolute;width:6888;height:485" coordsize="6888,485" path="m6888,l10,,,,,10,,485r10,l10,10r6878,l6888,xe" fillcolor="#5b9bd5" stroked="f">
              <v:path arrowok="t"/>
            </v:shape>
            <v:line id="_x0000_s1029" style="position:absolute" from="5,485" to="5,3293" strokecolor="#5b9bd5" strokeweight=".48pt"/>
            <v:shape id="_x0000_s1028" type="#_x0000_t202" style="position:absolute;width:6888;height:3293" filled="f" stroked="f">
              <v:textbox inset="0,0,0,0">
                <w:txbxContent>
                  <w:p w:rsidR="00DD672B" w:rsidRDefault="002D78FB">
                    <w:pPr>
                      <w:spacing w:before="212" w:line="290" w:lineRule="auto"/>
                      <w:ind w:left="235" w:right="26"/>
                      <w:jc w:val="both"/>
                      <w:rPr>
                        <w:i/>
                        <w:sz w:val="19"/>
                      </w:rPr>
                    </w:pPr>
                    <w:r>
                      <w:rPr>
                        <w:i/>
                        <w:color w:val="5B9BD5"/>
                        <w:sz w:val="19"/>
                      </w:rPr>
                      <w:t xml:space="preserve">“Grupo de Trabalho Político de PDIs:</w:t>
                    </w:r>
                    <w:r>
                      <w:rPr>
                        <w:i/>
                        <w:color w:val="5B9BD5"/>
                        <w:sz w:val="19"/>
                      </w:rPr>
                      <w:t xml:space="preserve"> </w:t>
                    </w:r>
                    <w:r>
                      <w:rPr>
                        <w:i/>
                        <w:color w:val="5B9BD5"/>
                        <w:sz w:val="19"/>
                      </w:rPr>
                      <w:t xml:space="preserve">uma adesão ampla.</w:t>
                    </w:r>
                    <w:r>
                      <w:rPr>
                        <w:i/>
                        <w:color w:val="5B9BD5"/>
                        <w:sz w:val="19"/>
                      </w:rPr>
                      <w:t xml:space="preserve"> </w:t>
                    </w:r>
                    <w:r>
                      <w:rPr>
                        <w:i/>
                        <w:color w:val="5B9BD5"/>
                        <w:sz w:val="19"/>
                      </w:rPr>
                      <w:t xml:space="preserve">O Grupo de Trabalho Político de PDIs faz parte de um processo inclusivo que une organizações governamentais, nacionais e internacionais e agências da ONU.</w:t>
                    </w:r>
                    <w:r>
                      <w:rPr>
                        <w:i/>
                        <w:color w:val="5B9BD5"/>
                        <w:sz w:val="19"/>
                      </w:rPr>
                      <w:t xml:space="preserve"> </w:t>
                    </w:r>
                    <w:r>
                      <w:rPr>
                        <w:i/>
                        <w:color w:val="5B9BD5"/>
                        <w:sz w:val="19"/>
                      </w:rPr>
                      <w:t xml:space="preserve">A adesão da UN-Habitat, PNUD e MRDR confirma a participação dos agentes de desenvolvimento.</w:t>
                    </w:r>
                    <w:r>
                      <w:rPr>
                        <w:i/>
                        <w:color w:val="5B9BD5"/>
                        <w:sz w:val="19"/>
                      </w:rPr>
                      <w:t xml:space="preserve"> </w:t>
                    </w:r>
                    <w:r>
                      <w:rPr>
                        <w:i/>
                        <w:color w:val="5B9BD5"/>
                        <w:sz w:val="19"/>
                      </w:rPr>
                      <w:t xml:space="preserve">O envolvimento e apropriação do processo pelo governo refletem-se numa forte adesão governamental (mais de 50% dos membros).</w:t>
                    </w:r>
                    <w:r>
                      <w:rPr>
                        <w:i/>
                        <w:color w:val="5B9BD5"/>
                        <w:sz w:val="19"/>
                      </w:rPr>
                      <w:t xml:space="preserve"> </w:t>
                    </w:r>
                    <w:r>
                      <w:rPr>
                        <w:i/>
                        <w:color w:val="5B9BD5"/>
                        <w:sz w:val="19"/>
                      </w:rPr>
                      <w:t xml:space="preserve">Os membros do Grupo de Trabalho Político de PDIs incluem o Gabinete de Assuntos Administrativos do Presidente, Gabinete da Primeira Dama, MdRR, MRDR, DIGL, CIDHA, AAGDN, ACNUR, UN-Habitat, OCHA, OIM, CNR e Grupo de Proteção Afegão (GPA).</w:t>
                    </w:r>
                    <w:r>
                      <w:rPr>
                        <w:i/>
                        <w:color w:val="5B9BD5"/>
                        <w:sz w:val="19"/>
                      </w:rPr>
                      <w:t xml:space="preserve"> </w:t>
                    </w:r>
                    <w:r>
                      <w:rPr>
                        <w:i/>
                        <w:color w:val="5B9BD5"/>
                        <w:sz w:val="19"/>
                      </w:rPr>
                      <w:t xml:space="preserve">O Grupo de Trabalho Político de PDIs faz parte da força operacional nacional de PDIs, co-presidida pelo MdRR e ACNUR.</w:t>
                    </w:r>
                  </w:p>
                </w:txbxContent>
              </v:textbox>
            </v:shape>
            <w10:wrap type="none"/>
            <w10:anchorlock/>
          </v:group>
        </w:pict>
      </w:r>
      <w:r w:rsidR="002D78FB">
        <w:rPr>
          <w:rStyle w:val="Appelnotedebasdep"/>
          <w:sz w:val="20"/>
        </w:rPr>
        <w:footnoteReference w:id="5"/>
      </w:r>
    </w:p>
    <w:p w:rsidR="00DD672B" w:rsidRDefault="00DD672B">
      <w:pPr>
        <w:pStyle w:val="Corpsdetexte"/>
        <w:rPr>
          <w:sz w:val="20"/>
        </w:rPr>
      </w:pPr>
    </w:p>
    <w:p w:rsidR="00DD672B" w:rsidRDefault="00DD672B">
      <w:pPr>
        <w:pStyle w:val="Corpsdetexte"/>
        <w:spacing w:before="8"/>
        <w:rPr>
          <w:sz w:val="27"/>
        </w:rPr>
      </w:pPr>
    </w:p>
    <w:p w:rsidR="00DD672B" w:rsidRDefault="002D78FB">
      <w:pPr>
        <w:pStyle w:val="Titre1"/>
        <w:tabs>
          <w:tab w:val="left" w:pos="9631"/>
        </w:tabs>
      </w:pPr>
      <w:r>
        <w:rPr>
          <w:color w:val="FFFFFF"/>
          <w:shd w:val="clear" w:color="auto" w:fill="5B9BD5"/>
          <w:b w:val="0"/>
          <w:rFonts w:ascii="Times New Roman"/>
        </w:rPr>
        <w:t xml:space="preserve">  </w:t>
      </w:r>
      <w:r>
        <w:rPr>
          <w:color w:val="FFFFFF"/>
          <w:shd w:val="clear" w:color="auto" w:fill="5B9BD5"/>
        </w:rPr>
        <w:t xml:space="preserve">PRINCIPAIS DESAFIOS</w:t>
      </w:r>
      <w:r>
        <w:rPr>
          <w:color w:val="FFFFFF"/>
          <w:shd w:val="clear" w:color="auto" w:fill="5B9BD5"/>
        </w:rPr>
        <w:tab/>
      </w:r>
    </w:p>
    <w:p w:rsidR="00DD672B" w:rsidRDefault="00DD672B">
      <w:pPr>
        <w:pStyle w:val="Corpsdetexte"/>
        <w:rPr>
          <w:b/>
          <w:sz w:val="25"/>
        </w:rPr>
      </w:pPr>
    </w:p>
    <w:p w:rsidR="00DD672B" w:rsidRDefault="002D78FB">
      <w:pPr>
        <w:pStyle w:val="Corpsdetexte"/>
        <w:ind w:left="473"/>
      </w:pPr>
      <w:r>
        <w:t xml:space="preserve">O agente de proteção sénior destacado para dar apoio ao processo fez as seguintes observações:</w:t>
      </w:r>
      <w:r>
        <w:rPr>
          <w:rStyle w:val="Appelnotedebasdep"/>
          <w:w w:val="105"/>
        </w:rPr>
        <w:footnoteReference w:id="6"/>
      </w:r>
    </w:p>
    <w:p w:rsidR="00DD672B" w:rsidRDefault="002D78FB">
      <w:pPr>
        <w:pStyle w:val="Corpsdetexte"/>
        <w:spacing w:before="210" w:line="254" w:lineRule="auto"/>
        <w:ind w:left="473" w:right="266"/>
      </w:pPr>
      <w:r>
        <w:rPr>
          <w:color w:val="1F4D78"/>
        </w:rPr>
        <w:t xml:space="preserve">CAPACIDADE E PARTICIPAÇÃO DO GOVERNO:</w:t>
      </w:r>
      <w:r>
        <w:rPr>
          <w:color w:val="1F4D78"/>
        </w:rPr>
        <w:t xml:space="preserve"> </w:t>
      </w:r>
      <w:r>
        <w:t xml:space="preserve">“Embora o MDRR tenha centenas de colaboradores em Kabul, bem como nas províncias, a sua real capacidade era baixa, com competências ou conhecimento legal insuficientes para a elaboração de uma política.</w:t>
      </w:r>
      <w:r>
        <w:t xml:space="preserve"> </w:t>
      </w:r>
      <w:r>
        <w:t xml:space="preserve">Envolver diferentes ministérios para darem opiniões sobre a política foi extremamente difícil, embora se tenha conseguido alguns contributos através de reuniões individuais bilaterais.</w:t>
      </w:r>
      <w:r>
        <w:t xml:space="preserve"> </w:t>
      </w:r>
      <w:r>
        <w:t xml:space="preserve">A corrupção endémica nos departamentos governamentais era, e continua a ser, um grande obstáculo a um progresso eficaz.”</w:t>
      </w:r>
    </w:p>
    <w:p w:rsidR="00DD672B" w:rsidRDefault="002D78FB">
      <w:pPr>
        <w:pStyle w:val="Corpsdetexte"/>
        <w:spacing w:before="192" w:line="252" w:lineRule="auto"/>
        <w:ind w:left="473" w:right="228"/>
      </w:pPr>
      <w:r>
        <w:rPr>
          <w:color w:val="1F4D78"/>
        </w:rPr>
        <w:t xml:space="preserve">DESENVOLVER UMA PARTICIPAÇÃO MAIS ALARGADA:</w:t>
      </w:r>
      <w:r>
        <w:rPr>
          <w:color w:val="1F4D78"/>
        </w:rPr>
        <w:t xml:space="preserve"> </w:t>
      </w:r>
      <w:r>
        <w:t xml:space="preserve">“O Grupo de Trabalho Político de PDIs, criado para auxiliar o MdRR no processo de consulta e elaboração, era um grupo pequeno composto, na sua maioria, por agências humanitárias internacionais.</w:t>
      </w:r>
      <w:r>
        <w:t xml:space="preserve"> </w:t>
      </w:r>
      <w:r>
        <w:t xml:space="preserve">As tentativas de envolver a Comissão Afegã para os Direitos Humanos, a ACBAR (Agência de Coordenação da Ajuda ao Afeganistão) ou as ONG afegãs nacionais foram, em grande parte, infrutíferas.</w:t>
      </w:r>
      <w:r>
        <w:t xml:space="preserve"> </w:t>
      </w:r>
      <w:r>
        <w:t xml:space="preserve">Houve contributos de um número limitado de grupos que foi especificamente abordado, nomeadamente os envolvidos na pesquisa, tais como o TLO (Gabinete de Ligação) e Samuel Hall, mas estes foram uma exceção.</w:t>
      </w:r>
      <w:r>
        <w:t xml:space="preserve"> </w:t>
      </w:r>
      <w:r>
        <w:t xml:space="preserve">Além disso, a questão da segurança e do acesso limitado em muitas regiões dificultou a interação com os governadores e outros representantes locais a nível provincial, que são essenciais à implementação.”</w:t>
      </w:r>
    </w:p>
    <w:p w:rsidR="00DD672B" w:rsidRDefault="002D78FB">
      <w:pPr>
        <w:pStyle w:val="Corpsdetexte"/>
        <w:spacing w:before="207" w:line="252" w:lineRule="auto"/>
        <w:ind w:left="473" w:right="170"/>
      </w:pPr>
      <w:r>
        <w:rPr>
          <w:color w:val="1F4D78"/>
        </w:rPr>
        <w:t xml:space="preserve">REPRESENTAÇÃO DAS PDI:</w:t>
      </w:r>
      <w:r>
        <w:rPr>
          <w:color w:val="1F4D78"/>
        </w:rPr>
        <w:t xml:space="preserve"> </w:t>
      </w:r>
      <w:r>
        <w:t xml:space="preserve">“Realizar consultas significativas com as PDI foi especialmente difícil, porque geralmente não têm estruturas representativas para agregar ou expressar as suas opiniões.</w:t>
      </w:r>
      <w:r>
        <w:t xml:space="preserve"> </w:t>
      </w:r>
      <w:r>
        <w:t xml:space="preserve">Por isso, embora se tenham realizado reuniões com muitos grupos de PDIs, os debates raramente foram além das necessidades concretas de um determinado grupo, como água, alimentação, cuidados de saúde, educação e emprego.“</w:t>
      </w:r>
    </w:p>
    <w:p w:rsidR="00DD672B" w:rsidRDefault="002D78FB">
      <w:pPr>
        <w:pStyle w:val="Corpsdetexte"/>
        <w:spacing w:before="201"/>
        <w:ind w:left="473"/>
      </w:pPr>
      <w:r>
        <w:rPr>
          <w:color w:val="1F4D78"/>
        </w:rPr>
        <w:t xml:space="preserve">RESPONDER AOS PRINCIPAIS PROBLEMAS:</w:t>
      </w:r>
    </w:p>
    <w:p w:rsidR="00DD672B" w:rsidRDefault="002D78FB">
      <w:pPr>
        <w:pStyle w:val="Corpsdetexte"/>
        <w:spacing w:before="215" w:line="252" w:lineRule="auto"/>
        <w:ind w:left="473" w:right="266"/>
      </w:pPr>
      <w:r>
        <w:t xml:space="preserve">“Foi um grande desafio elaborar um documento que abordasse as complexidades dos principais problemas no Afeganistão.</w:t>
      </w:r>
      <w:r>
        <w:t xml:space="preserve"> </w:t>
      </w:r>
      <w:r>
        <w:t xml:space="preserve">O mais relevante foi o facto de, apesar de os governadores, presidentes de câmara e outras autoridades quererem resolver o problema das PDI, a única solução que viam era o “regresso”.</w:t>
      </w:r>
      <w:r>
        <w:t xml:space="preserve"> </w:t>
      </w:r>
      <w:r>
        <w:t xml:space="preserve">A noção de integração local ou recolocação não fazia parte dos seus planos e a ideia de dar terras a uma PDI de outra província revelou ser um conceito muito difícil.</w:t>
      </w:r>
      <w:r>
        <w:t xml:space="preserve"> </w:t>
      </w:r>
      <w:r>
        <w:t xml:space="preserve">A Política de PDIs deixou bem claro que as três soluções duradouras teriam de ser aceites e que a integração local era especialmente importante para o número de casos em deslocação prolongada e para os refugiados retornados impedidos de regressar às suas áreas de origem.”</w:t>
      </w:r>
    </w:p>
    <w:p w:rsidR="00DD672B" w:rsidRDefault="00DD672B">
      <w:pPr>
        <w:pStyle w:val="Corpsdetexte"/>
        <w:rPr>
          <w:sz w:val="20"/>
        </w:rPr>
      </w:pPr>
    </w:p>
    <w:p w:rsidR="00DD672B" w:rsidRDefault="00DD672B">
      <w:pPr>
        <w:pStyle w:val="Corpsdetexte"/>
        <w:rPr>
          <w:sz w:val="20"/>
        </w:rPr>
      </w:pPr>
    </w:p>
    <w:p w:rsidR="00DD672B" w:rsidRDefault="00DD672B">
      <w:pPr>
        <w:pStyle w:val="Corpsdetexte"/>
        <w:spacing w:before="1"/>
        <w:rPr>
          <w:sz w:val="10"/>
        </w:rPr>
      </w:pPr>
    </w:p>
    <w:p w:rsidR="00DD672B" w:rsidRDefault="00DD672B">
      <w:pPr>
        <w:pStyle w:val="Corpsdetexte"/>
        <w:spacing w:before="12"/>
        <w:rPr>
          <w:sz w:val="9"/>
        </w:rPr>
      </w:pPr>
    </w:p>
    <w:p w:rsidR="00DD672B" w:rsidRDefault="00DD672B" w:rsidP="002D78FB">
      <w:pPr>
        <w:spacing w:before="100" w:line="261" w:lineRule="auto"/>
        <w:rPr>
          <w:sz w:val="17"/>
        </w:rPr>
      </w:pPr>
    </w:p>
    <w:p w:rsidR="00DD672B" w:rsidRDefault="00DD672B">
      <w:pPr>
        <w:spacing w:line="261" w:lineRule="auto"/>
        <w:rPr>
          <w:sz w:val="17"/>
        </w:rPr>
        <w:sectPr w:rsidR="00DD672B">
          <w:pgSz w:w="11900" w:h="16820"/>
          <w:pgMar w:top="1420" w:right="1220" w:bottom="280" w:left="940" w:header="708" w:footer="708" w:gutter="0"/>
          <w:cols w:space="708"/>
        </w:sectPr>
      </w:pPr>
    </w:p>
    <w:p w:rsidR="00DD672B" w:rsidRDefault="00DD672B">
      <w:pPr>
        <w:pStyle w:val="Corpsdetexte"/>
        <w:spacing w:before="1"/>
        <w:rPr>
          <w:sz w:val="13"/>
        </w:rPr>
      </w:pPr>
    </w:p>
    <w:p w:rsidR="00DD672B" w:rsidRDefault="002D78FB">
      <w:pPr>
        <w:pStyle w:val="Corpsdetexte"/>
        <w:spacing w:before="106" w:line="252" w:lineRule="auto"/>
        <w:ind w:left="473" w:right="266"/>
      </w:pPr>
      <w:r>
        <w:t xml:space="preserve">“A questão de quem é considerada PDI era, e continua a ser, muito controversa.</w:t>
      </w:r>
      <w:r>
        <w:t xml:space="preserve"> </w:t>
      </w:r>
      <w:r>
        <w:t xml:space="preserve">É fácil para os afegãos compreenderem e aceitarem uma PDI deslocada por conflito ou por uma catástrofe natural súbita, mas é muito mais difícil quando a deslocação resulta de uma catástrofe de progressão lenta, nomeadamente a seca, já que aqui se torna mais difícil distinguir as PDI dos migrantes económicos.</w:t>
      </w:r>
      <w:r>
        <w:t xml:space="preserve"> </w:t>
      </w:r>
      <w:r>
        <w:t xml:space="preserve">Porém, os retornados impedidos de regressar às suas áreas de origem e as pessoas deslocadas como resultado de projetos de desenvolvimento foram incluídos como pessoas em dificuldade nesta política.”</w:t>
      </w:r>
    </w:p>
    <w:p w:rsidR="00DD672B" w:rsidRDefault="002D78FB">
      <w:pPr>
        <w:pStyle w:val="Corpsdetexte"/>
        <w:spacing w:before="203" w:line="252" w:lineRule="auto"/>
        <w:ind w:left="473" w:right="230"/>
      </w:pPr>
      <w:r>
        <w:t xml:space="preserve">“As cidades e os centros urbanos são especialmente atrativos para as pessoas deslocadas, porque são vistos como oferecendo segurança, oportunidades de subsistência e serviços básicos.</w:t>
      </w:r>
      <w:r>
        <w:t xml:space="preserve"> </w:t>
      </w:r>
      <w:r>
        <w:t xml:space="preserve">Porém, o governo afegão e a comunidade de desenvolvimento não analisaram, nem dedicaram os recursos suficientes para responder à rápida urbanização do Afeganistão e, em especial, para responder às necessidades dos deslocados que se fixaram em povoações informais, geralmente em favelas ou na periferia das cidades.</w:t>
      </w:r>
      <w:r>
        <w:t xml:space="preserve"> </w:t>
      </w:r>
      <w:r>
        <w:t xml:space="preserve">A política dirige a atenção para este problema, com especial enfoque em soluções baseadas em áreas que abrangem não só as PDI, mas também a população urbana pobre, de um modo geral.”</w:t>
      </w:r>
    </w:p>
    <w:p w:rsidR="00DD672B" w:rsidRDefault="002D78FB">
      <w:pPr>
        <w:pStyle w:val="Corpsdetexte"/>
        <w:spacing w:before="205" w:line="252" w:lineRule="auto"/>
        <w:ind w:left="473" w:right="223"/>
      </w:pPr>
      <w:r>
        <w:t xml:space="preserve">“Independentemente dos limites e desafios do processo de elaboração, existe atualmente uma política - uma ferramenta - que pode ser utilizada para defender os direitos das PDI, dar orientação sobre o caminho a seguir e melhorar a qualidade de vida dos afegãos deslocados.</w:t>
      </w:r>
      <w:r>
        <w:t xml:space="preserve"> </w:t>
      </w:r>
      <w:r>
        <w:t xml:space="preserve">Sem dúvida que o maior desafio enfrentado pelos legisladores foi a implementação: como garantir que a política informaria efetivamente sobre a ação, programação e legislação, e não apenas ficar esquecida na gaveta de um burocrata.</w:t>
      </w:r>
      <w:r>
        <w:t xml:space="preserve"> </w:t>
      </w:r>
      <w:r>
        <w:t xml:space="preserve">Quem seria responsável pelo quê?</w:t>
      </w:r>
      <w:r>
        <w:t xml:space="preserve"> </w:t>
      </w:r>
      <w:r>
        <w:t xml:space="preserve">Foi investida uma grande quantidade de energia na definição das responsabilidades dos diferentes ministérios de execução, organismos de coordenação e autoridades provinciais e locais, bem como a sociedade civil, as comunidades humanitárias e de desenvolvimento internacionais e outros intervenientes.</w:t>
      </w:r>
      <w:r>
        <w:t xml:space="preserve"> </w:t>
      </w:r>
      <w:r>
        <w:t xml:space="preserve">O reconhecimento dessa deslocação manifesta-se de modo diferente nas várias regiões do país, tendo a responsabilidade primária pela elaboração dos planos e estratégias de implementação sido atribuída aos governadores provinciais, deixando ao MdRR a tarefa de consolidar esses planos provinciais num plano nacional.</w:t>
      </w:r>
      <w:r>
        <w:t xml:space="preserve"> </w:t>
      </w:r>
      <w:r>
        <w:t xml:space="preserve">Resta ver como isto se vai refletir na prática.”</w:t>
      </w:r>
    </w:p>
    <w:sectPr w:rsidR="00DD672B">
      <w:pgSz w:w="11900" w:h="16820"/>
      <w:pgMar w:top="1600" w:right="1220" w:bottom="280" w:left="9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592" w:rsidRDefault="00E61592" w:rsidP="00E61592">
      <w:r>
        <w:separator/>
      </w:r>
    </w:p>
  </w:endnote>
  <w:endnote w:type="continuationSeparator" w:id="0">
    <w:p w:rsidR="00E61592" w:rsidRDefault="00E61592" w:rsidP="00E61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592" w:rsidRDefault="00E61592" w:rsidP="00E61592">
      <w:r>
        <w:separator/>
      </w:r>
    </w:p>
  </w:footnote>
  <w:footnote w:type="continuationSeparator" w:id="0">
    <w:p w:rsidR="00E61592" w:rsidRDefault="00E61592" w:rsidP="00E61592">
      <w:r>
        <w:continuationSeparator/>
      </w:r>
    </w:p>
  </w:footnote>
  <w:footnote w:id="1">
    <w:p w:rsidR="00E61592" w:rsidRDefault="00E61592" w:rsidP="00E61592">
      <w:pPr>
        <w:pStyle w:val="Corpsdetexte"/>
        <w:spacing w:before="1" w:line="292" w:lineRule="auto"/>
        <w:ind w:left="473" w:right="266"/>
      </w:pPr>
      <w:r>
        <w:rPr>
          <w:rStyle w:val="Appelnotedebasdep"/>
        </w:rPr>
        <w:footnoteRef/>
      </w:r>
      <w:r>
        <w:t xml:space="preserve"> IDMC- NRC/Brookings- LSE, Instrumentos Nacionais sobre as Deslocações Internas:</w:t>
      </w:r>
      <w:r>
        <w:t xml:space="preserve"> </w:t>
      </w:r>
      <w:r>
        <w:t xml:space="preserve">Guia para o seu Desenvolvimento, agosto de 2013, disponível em </w:t>
      </w:r>
      <w:hyperlink r:id="rId1">
        <w:r>
          <w:rPr>
            <w:color w:val="0563C1"/>
            <w:u w:val="single" w:color="0563C1"/>
          </w:rPr>
          <w:t xml:space="preserve">http://goo.gl/GXab9D</w:t>
        </w:r>
      </w:hyperlink>
      <w:r>
        <w:t xml:space="preserve">.</w:t>
      </w:r>
    </w:p>
    <w:p w:rsidR="00E61592" w:rsidRPr="00E61592" w:rsidRDefault="00E61592">
      <w:pPr>
        <w:pStyle w:val="Notedebasdepage"/>
      </w:pPr>
    </w:p>
  </w:footnote>
  <w:footnote w:id="2">
    <w:p w:rsidR="006734A6" w:rsidRPr="006734A6" w:rsidRDefault="006734A6">
      <w:pPr>
        <w:pStyle w:val="Notedebasdepage"/>
      </w:pPr>
      <w:r>
        <w:rPr>
          <w:rStyle w:val="Appelnotedebasdep"/>
        </w:rPr>
        <w:footnoteRef/>
      </w:r>
      <w:r>
        <w:t xml:space="preserve"> ACNUR, vozes e perspetivas das PDI:</w:t>
      </w:r>
      <w:r>
        <w:t xml:space="preserve"> </w:t>
      </w:r>
      <w:r>
        <w:t xml:space="preserve">Diálogo Nacional do Iémen, março de 2013, disponível em</w:t>
      </w:r>
      <w:r>
        <w:t xml:space="preserve"> </w:t>
      </w:r>
      <w:hyperlink r:id="rId2">
        <w:r>
          <w:rPr>
            <w:color w:val="0563C1"/>
            <w:u w:val="single" w:color="0563C1"/>
          </w:rPr>
          <w:t xml:space="preserve">http://goo.gl/3FmKfM</w:t>
        </w:r>
      </w:hyperlink>
      <w:r>
        <w:t xml:space="preserve">.</w:t>
      </w:r>
    </w:p>
  </w:footnote>
  <w:footnote w:id="3">
    <w:p w:rsidR="006734A6" w:rsidRPr="002D78FB" w:rsidRDefault="006734A6" w:rsidP="002D78FB">
      <w:pPr>
        <w:spacing w:before="172" w:line="261" w:lineRule="auto"/>
        <w:ind w:left="473" w:right="266"/>
        <w:rPr>
          <w:sz w:val="17"/>
        </w:rPr>
      </w:pPr>
      <w:r>
        <w:rPr>
          <w:rStyle w:val="Appelnotedebasdep"/>
        </w:rPr>
        <w:footnoteRef/>
      </w:r>
      <w:r>
        <w:t xml:space="preserve"> </w:t>
      </w:r>
      <w:r>
        <w:rPr>
          <w:sz w:val="17"/>
        </w:rPr>
        <w:t xml:space="preserve">Análise da Migração Forçada, uma Política de PDIs para o Afeganistão: do projeto à realidade, maio de 2014, disponível em </w:t>
      </w:r>
      <w:hyperlink r:id="rId3">
        <w:r>
          <w:rPr>
            <w:color w:val="0563C1"/>
            <w:sz w:val="17"/>
            <w:u w:val="single" w:color="0563C1"/>
          </w:rPr>
          <w:t xml:space="preserve">http://goo.gl/uQW7od</w:t>
        </w:r>
      </w:hyperlink>
    </w:p>
  </w:footnote>
  <w:footnote w:id="4">
    <w:p w:rsidR="002D78FB" w:rsidRPr="002D78FB" w:rsidRDefault="002D78FB" w:rsidP="002D78FB">
      <w:pPr>
        <w:spacing w:before="191" w:line="254" w:lineRule="auto"/>
        <w:ind w:left="473" w:right="266"/>
        <w:rPr>
          <w:sz w:val="17"/>
        </w:rPr>
      </w:pPr>
      <w:r>
        <w:rPr>
          <w:rStyle w:val="Appelnotedebasdep"/>
        </w:rPr>
        <w:footnoteRef/>
      </w:r>
      <w:r>
        <w:t xml:space="preserve"> </w:t>
      </w:r>
      <w:r>
        <w:rPr>
          <w:sz w:val="16"/>
        </w:rPr>
        <w:t xml:space="preserve">4 </w:t>
      </w:r>
      <w:r>
        <w:rPr>
          <w:sz w:val="17"/>
        </w:rPr>
        <w:t xml:space="preserve">O Projeto de Capacidade de Proteção de Reserva é uma iniciativa entre agências para desenvolver a capacidade dos intervenientes e melhorar as respostas de proteção humanitária. Para mais informações, consulte</w:t>
      </w:r>
      <w:r>
        <w:rPr>
          <w:sz w:val="17"/>
          <w:color w:val="0563C1"/>
        </w:rPr>
        <w:t xml:space="preserve"> </w:t>
      </w:r>
      <w:r>
        <w:rPr>
          <w:sz w:val="17"/>
          <w:color w:val="0563C1"/>
          <w:u w:val="single" w:color="0563C1"/>
        </w:rPr>
        <w:t xml:space="preserve">https://goo.gl/GVlRmn.</w:t>
      </w:r>
    </w:p>
  </w:footnote>
  <w:footnote w:id="5">
    <w:p w:rsidR="002D78FB" w:rsidRPr="002D78FB" w:rsidRDefault="002D78FB">
      <w:pPr>
        <w:pStyle w:val="Notedebasdepage"/>
      </w:pPr>
      <w:r>
        <w:rPr>
          <w:rStyle w:val="Appelnotedebasdep"/>
        </w:rPr>
        <w:footnoteRef/>
      </w:r>
      <w:r>
        <w:t xml:space="preserve"> </w:t>
      </w:r>
      <w:r>
        <w:rPr>
          <w:sz w:val="17"/>
        </w:rPr>
        <w:t xml:space="preserve">Samuel Hall Consulting, Política Nacional sobre as PDI no Afeganistão: da política à implementação, 2015, disponível em </w:t>
      </w:r>
      <w:hyperlink r:id="rId4">
        <w:r>
          <w:rPr>
            <w:color w:val="0563C1"/>
            <w:sz w:val="17"/>
            <w:u w:val="single" w:color="0563C1"/>
          </w:rPr>
          <w:t xml:space="preserve">http://goo.gl/RKSG88</w:t>
        </w:r>
      </w:hyperlink>
    </w:p>
  </w:footnote>
  <w:footnote w:id="6">
    <w:p w:rsidR="002D78FB" w:rsidRPr="002D78FB" w:rsidRDefault="002D78FB" w:rsidP="002D78FB">
      <w:pPr>
        <w:spacing w:before="148" w:line="261" w:lineRule="auto"/>
        <w:ind w:left="473" w:right="266"/>
        <w:rPr>
          <w:sz w:val="17"/>
        </w:rPr>
      </w:pPr>
      <w:r>
        <w:rPr>
          <w:rStyle w:val="Appelnotedebasdep"/>
        </w:rPr>
        <w:footnoteRef/>
      </w:r>
      <w:r>
        <w:t xml:space="preserve"> </w:t>
      </w:r>
      <w:r>
        <w:rPr>
          <w:sz w:val="17"/>
        </w:rPr>
        <w:t xml:space="preserve">Análise da Migração Forçada, uma Política de PDI para o Afeganistão: do projeto à realidade, maio de 2014, disponível em </w:t>
      </w:r>
      <w:hyperlink r:id="rId5">
        <w:r>
          <w:rPr>
            <w:color w:val="0563C1"/>
            <w:sz w:val="17"/>
            <w:u w:val="single" w:color="0563C1"/>
          </w:rPr>
          <w:t xml:space="preserve">http://goo.gl/uQW7od</w:t>
        </w:r>
      </w:hyperlink>
      <w:r>
        <w:t xml:space="preserv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DB311A"/>
    <w:multiLevelType w:val="hybridMultilevel"/>
    <w:tmpl w:val="E836DCA0"/>
    <w:lvl w:ilvl="0" w:tplc="74D69126">
      <w:start w:val="1"/>
      <w:numFmt w:val="decimal"/>
      <w:lvlText w:val="%1."/>
      <w:lvlJc w:val="left"/>
      <w:pPr>
        <w:ind w:left="1193" w:hanging="360"/>
        <w:jc w:val="left"/>
      </w:pPr>
      <w:rPr>
        <w:rFonts w:ascii="Calibri" w:eastAsia="Calibri" w:hAnsi="Calibri" w:cs="Calibri" w:hint="default"/>
        <w:spacing w:val="0"/>
        <w:w w:val="103"/>
        <w:sz w:val="19"/>
        <w:szCs w:val="19"/>
      </w:rPr>
    </w:lvl>
    <w:lvl w:ilvl="1" w:tplc="E44E166C">
      <w:numFmt w:val="bullet"/>
      <w:lvlText w:val="•"/>
      <w:lvlJc w:val="left"/>
      <w:pPr>
        <w:ind w:left="2054" w:hanging="360"/>
      </w:pPr>
      <w:rPr>
        <w:rFonts w:hint="default"/>
      </w:rPr>
    </w:lvl>
    <w:lvl w:ilvl="2" w:tplc="A6B4C894">
      <w:numFmt w:val="bullet"/>
      <w:lvlText w:val="•"/>
      <w:lvlJc w:val="left"/>
      <w:pPr>
        <w:ind w:left="2908" w:hanging="360"/>
      </w:pPr>
      <w:rPr>
        <w:rFonts w:hint="default"/>
      </w:rPr>
    </w:lvl>
    <w:lvl w:ilvl="3" w:tplc="5226CDF8">
      <w:numFmt w:val="bullet"/>
      <w:lvlText w:val="•"/>
      <w:lvlJc w:val="left"/>
      <w:pPr>
        <w:ind w:left="3762" w:hanging="360"/>
      </w:pPr>
      <w:rPr>
        <w:rFonts w:hint="default"/>
      </w:rPr>
    </w:lvl>
    <w:lvl w:ilvl="4" w:tplc="205CE1A0">
      <w:numFmt w:val="bullet"/>
      <w:lvlText w:val="•"/>
      <w:lvlJc w:val="left"/>
      <w:pPr>
        <w:ind w:left="4616" w:hanging="360"/>
      </w:pPr>
      <w:rPr>
        <w:rFonts w:hint="default"/>
      </w:rPr>
    </w:lvl>
    <w:lvl w:ilvl="5" w:tplc="761EF3D0">
      <w:numFmt w:val="bullet"/>
      <w:lvlText w:val="•"/>
      <w:lvlJc w:val="left"/>
      <w:pPr>
        <w:ind w:left="5470" w:hanging="360"/>
      </w:pPr>
      <w:rPr>
        <w:rFonts w:hint="default"/>
      </w:rPr>
    </w:lvl>
    <w:lvl w:ilvl="6" w:tplc="F8DA5B1C">
      <w:numFmt w:val="bullet"/>
      <w:lvlText w:val="•"/>
      <w:lvlJc w:val="left"/>
      <w:pPr>
        <w:ind w:left="6324" w:hanging="360"/>
      </w:pPr>
      <w:rPr>
        <w:rFonts w:hint="default"/>
      </w:rPr>
    </w:lvl>
    <w:lvl w:ilvl="7" w:tplc="97A884F6">
      <w:numFmt w:val="bullet"/>
      <w:lvlText w:val="•"/>
      <w:lvlJc w:val="left"/>
      <w:pPr>
        <w:ind w:left="7178" w:hanging="360"/>
      </w:pPr>
      <w:rPr>
        <w:rFonts w:hint="default"/>
      </w:rPr>
    </w:lvl>
    <w:lvl w:ilvl="8" w:tplc="4274E1D2">
      <w:numFmt w:val="bullet"/>
      <w:lvlText w:val="•"/>
      <w:lvlJc w:val="left"/>
      <w:pPr>
        <w:ind w:left="8032" w:hanging="360"/>
      </w:pPr>
      <w:rPr>
        <w:rFonts w:hint="default"/>
      </w:rPr>
    </w:lvl>
  </w:abstractNum>
  <w:abstractNum w:abstractNumId="1" w15:restartNumberingAfterBreak="0">
    <w:nsid w:val="232D2D96"/>
    <w:multiLevelType w:val="hybridMultilevel"/>
    <w:tmpl w:val="FE9AEDC6"/>
    <w:lvl w:ilvl="0" w:tplc="7680817E">
      <w:numFmt w:val="bullet"/>
      <w:lvlText w:val=""/>
      <w:lvlJc w:val="left"/>
      <w:pPr>
        <w:ind w:left="1193" w:hanging="360"/>
      </w:pPr>
      <w:rPr>
        <w:rFonts w:ascii="Wingdings" w:eastAsia="Wingdings" w:hAnsi="Wingdings" w:cs="Wingdings" w:hint="default"/>
        <w:color w:val="1F4E79"/>
        <w:w w:val="103"/>
        <w:sz w:val="19"/>
        <w:szCs w:val="19"/>
      </w:rPr>
    </w:lvl>
    <w:lvl w:ilvl="1" w:tplc="33A81EEE">
      <w:numFmt w:val="bullet"/>
      <w:lvlText w:val="•"/>
      <w:lvlJc w:val="left"/>
      <w:pPr>
        <w:ind w:left="2054" w:hanging="360"/>
      </w:pPr>
      <w:rPr>
        <w:rFonts w:hint="default"/>
      </w:rPr>
    </w:lvl>
    <w:lvl w:ilvl="2" w:tplc="FC643B22">
      <w:numFmt w:val="bullet"/>
      <w:lvlText w:val="•"/>
      <w:lvlJc w:val="left"/>
      <w:pPr>
        <w:ind w:left="2908" w:hanging="360"/>
      </w:pPr>
      <w:rPr>
        <w:rFonts w:hint="default"/>
      </w:rPr>
    </w:lvl>
    <w:lvl w:ilvl="3" w:tplc="FCBAF63E">
      <w:numFmt w:val="bullet"/>
      <w:lvlText w:val="•"/>
      <w:lvlJc w:val="left"/>
      <w:pPr>
        <w:ind w:left="3762" w:hanging="360"/>
      </w:pPr>
      <w:rPr>
        <w:rFonts w:hint="default"/>
      </w:rPr>
    </w:lvl>
    <w:lvl w:ilvl="4" w:tplc="5B3A58CA">
      <w:numFmt w:val="bullet"/>
      <w:lvlText w:val="•"/>
      <w:lvlJc w:val="left"/>
      <w:pPr>
        <w:ind w:left="4616" w:hanging="360"/>
      </w:pPr>
      <w:rPr>
        <w:rFonts w:hint="default"/>
      </w:rPr>
    </w:lvl>
    <w:lvl w:ilvl="5" w:tplc="BFD629EA">
      <w:numFmt w:val="bullet"/>
      <w:lvlText w:val="•"/>
      <w:lvlJc w:val="left"/>
      <w:pPr>
        <w:ind w:left="5470" w:hanging="360"/>
      </w:pPr>
      <w:rPr>
        <w:rFonts w:hint="default"/>
      </w:rPr>
    </w:lvl>
    <w:lvl w:ilvl="6" w:tplc="3D88F2E8">
      <w:numFmt w:val="bullet"/>
      <w:lvlText w:val="•"/>
      <w:lvlJc w:val="left"/>
      <w:pPr>
        <w:ind w:left="6324" w:hanging="360"/>
      </w:pPr>
      <w:rPr>
        <w:rFonts w:hint="default"/>
      </w:rPr>
    </w:lvl>
    <w:lvl w:ilvl="7" w:tplc="74F40E68">
      <w:numFmt w:val="bullet"/>
      <w:lvlText w:val="•"/>
      <w:lvlJc w:val="left"/>
      <w:pPr>
        <w:ind w:left="7178" w:hanging="360"/>
      </w:pPr>
      <w:rPr>
        <w:rFonts w:hint="default"/>
      </w:rPr>
    </w:lvl>
    <w:lvl w:ilvl="8" w:tplc="00040A58">
      <w:numFmt w:val="bullet"/>
      <w:lvlText w:val="•"/>
      <w:lvlJc w:val="left"/>
      <w:pPr>
        <w:ind w:left="8032" w:hanging="3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2"/>
    <w:compatSetting w:name="useWord2013TrackBottomHyphenation" w:uri="http://schemas.microsoft.com/office/word" w:val="1"/>
  </w:compat>
  <w:rsids>
    <w:rsidRoot w:val="00DD672B"/>
    <w:rsid w:val="001E0BD5"/>
    <w:rsid w:val="002D78FB"/>
    <w:rsid w:val="006734A6"/>
    <w:rsid w:val="00DD672B"/>
    <w:rsid w:val="00E61592"/>
  </w:rsids>
  <m:mathPr>
    <m:mathFont m:val="Cambria Math"/>
    <m:brkBin m:val="before"/>
    <m:brkBinSub m:val="--"/>
    <m:smallFrac m:val="0"/>
    <m:dispDef/>
    <m:lMargin m:val="0"/>
    <m:rMargin m:val="0"/>
    <m:defJc m:val="centerGroup"/>
    <m:wrapIndent m:val="1440"/>
    <m:intLim m:val="subSup"/>
    <m:naryLim m:val="undOvr"/>
  </m:mathPr>
  <w:themeFontLang w:val="nl-BE" w:bidi="ar-SA"/>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16B392E8"/>
  <w15:docId w15:val="{0AC2520D-E538-4C47-BBEF-7A9FFA674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PT"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paragraph" w:styleId="Titre1">
    <w:name w:val="heading 1"/>
    <w:basedOn w:val="Normal"/>
    <w:uiPriority w:val="9"/>
    <w:qFormat/>
    <w:pPr>
      <w:spacing w:before="105"/>
      <w:ind w:left="387"/>
      <w:outlineLvl w:val="0"/>
    </w:pPr>
    <w:rPr>
      <w:b/>
      <w:bCs/>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19"/>
      <w:szCs w:val="19"/>
    </w:rPr>
  </w:style>
  <w:style w:type="paragraph" w:styleId="Titre">
    <w:name w:val="Title"/>
    <w:basedOn w:val="Normal"/>
    <w:uiPriority w:val="10"/>
    <w:qFormat/>
    <w:pPr>
      <w:ind w:left="473"/>
    </w:pPr>
    <w:rPr>
      <w:sz w:val="52"/>
      <w:szCs w:val="52"/>
    </w:rPr>
  </w:style>
  <w:style w:type="paragraph" w:styleId="Paragraphedeliste">
    <w:name w:val="List Paragraph"/>
    <w:basedOn w:val="Normal"/>
    <w:uiPriority w:val="1"/>
    <w:qFormat/>
    <w:pPr>
      <w:ind w:left="1193" w:hanging="360"/>
    </w:pPr>
  </w:style>
  <w:style w:type="paragraph" w:customStyle="1" w:styleId="TableParagraph">
    <w:name w:val="Table Paragraph"/>
    <w:basedOn w:val="Normal"/>
    <w:uiPriority w:val="1"/>
    <w:qFormat/>
  </w:style>
  <w:style w:type="paragraph" w:styleId="Notedebasdepage">
    <w:name w:val="footnote text"/>
    <w:basedOn w:val="Normal"/>
    <w:link w:val="NotedebasdepageCar"/>
    <w:uiPriority w:val="99"/>
    <w:semiHidden/>
    <w:unhideWhenUsed/>
    <w:rsid w:val="00E61592"/>
    <w:rPr>
      <w:sz w:val="20"/>
      <w:szCs w:val="20"/>
    </w:rPr>
  </w:style>
  <w:style w:type="character" w:customStyle="1" w:styleId="NotedebasdepageCar">
    <w:name w:val="Note de bas de page Car"/>
    <w:basedOn w:val="Policepardfaut"/>
    <w:link w:val="Notedebasdepage"/>
    <w:uiPriority w:val="99"/>
    <w:semiHidden/>
    <w:rsid w:val="00E61592"/>
    <w:rPr>
      <w:rFonts w:ascii="Calibri" w:eastAsia="Calibri" w:hAnsi="Calibri" w:cs="Calibri"/>
      <w:sz w:val="20"/>
      <w:szCs w:val="20"/>
    </w:rPr>
  </w:style>
  <w:style w:type="character" w:styleId="Appelnotedebasdep">
    <w:name w:val="footnote reference"/>
    <w:basedOn w:val="Policepardfaut"/>
    <w:uiPriority w:val="99"/>
    <w:semiHidden/>
    <w:unhideWhenUsed/>
    <w:rsid w:val="00E6159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_rels/footnotes.xml.rels>&#65279;<?xml version="1.0" encoding="UTF-8" standalone="yes"?>
<Relationships xmlns="http://schemas.openxmlformats.org/package/2006/relationships"><Relationship Id="rId3" Type="http://schemas.openxmlformats.org/officeDocument/2006/relationships/hyperlink" Target="http://goo.gl/uQW7od." TargetMode="External"/><Relationship Id="rId2" Type="http://schemas.openxmlformats.org/officeDocument/2006/relationships/hyperlink" Target="http://goo.gl/3FmKfM." TargetMode="External"/><Relationship Id="rId1" Type="http://schemas.openxmlformats.org/officeDocument/2006/relationships/hyperlink" Target="http://goo.gl/GXab9D." TargetMode="External"/><Relationship Id="rId5" Type="http://schemas.openxmlformats.org/officeDocument/2006/relationships/hyperlink" Target="http://goo.gl/uQW7od." TargetMode="External"/><Relationship Id="rId4" Type="http://schemas.openxmlformats.org/officeDocument/2006/relationships/hyperlink" Target="http://goo.gl/RKSG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EA9B47-E03E-4126-A411-744073AC4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1536</Words>
  <Characters>8450</Characters>
  <Application>Microsoft Office Word</Application>
  <DocSecurity>0</DocSecurity>
  <Lines>70</Lines>
  <Paragraphs>19</Paragraphs>
  <ScaleCrop>false</ScaleCrop>
  <Company/>
  <LinksUpToDate>false</LinksUpToDate>
  <CharactersWithSpaces>9967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Caroline Debauche</cp:lastModifiedBy>
  <cp:revision>2</cp:revision>
  <dcterms:created xsi:type="dcterms:W3CDTF">2020-12-03T12:02:00Z</dcterms:created>
  <dcterms:modified xsi:type="dcterms:W3CDTF">2020-12-03T12:02:00Z</dcterms:modified>
</cp:coreProperties>
</file>